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INTELLECTUAL PROPERTY DECLARATION &amp; COPYRIGHT NOTICE</w:t>
      </w:r>
    </w:p>
    <w:p>
      <w:pPr>
        <w:jc w:val="center"/>
      </w:pPr>
      <w:r>
        <w:t>TM3QSC — TM3 Quantum Sovereign Core</w:t>
      </w:r>
    </w:p>
    <w:p>
      <w:pPr>
        <w:jc w:val="center"/>
      </w:pPr>
      <w:r>
        <w:rPr>
          <w:i/>
          <w:sz w:val="18"/>
        </w:rPr>
        <w:t>NOT LEGAL ADVICE — Consult a qualified IP attorney for registration and enforcement.</w:t>
      </w:r>
    </w:p>
    <w:p>
      <w:pPr>
        <w:pStyle w:val="Heading1"/>
      </w:pPr>
      <w:r>
        <w:t>I. DECLARATION OF OWNERSHIP</w:t>
      </w:r>
    </w:p>
    <w:p>
      <w:r>
        <w:rPr>
          <w:b/>
        </w:rPr>
        <w:t xml:space="preserve">Owner: </w:t>
      </w:r>
      <w:r>
        <w:t>OBA Thurman Morris III-EL-ZION</w:t>
      </w:r>
    </w:p>
    <w:p>
      <w:r>
        <w:rPr>
          <w:b/>
        </w:rPr>
        <w:t xml:space="preserve">Sovereign ID: </w:t>
      </w:r>
      <w:r>
        <w:t>TM3EL-ZION-000000R++</w:t>
      </w:r>
    </w:p>
    <w:p>
      <w:r>
        <w:rPr>
          <w:b/>
        </w:rPr>
        <w:t xml:space="preserve">Date of Declaration: </w:t>
      </w:r>
      <w:r>
        <w:t>2026-03-21</w:t>
      </w:r>
    </w:p>
    <w:p>
      <w:r>
        <w:rPr>
          <w:b/>
        </w:rPr>
        <w:t xml:space="preserve">Jurisdiction: </w:t>
      </w:r>
      <w:r>
        <w:t>United States of America (17 U.S.C.)</w:t>
      </w:r>
    </w:p>
    <w:p>
      <w:r>
        <w:t>All intellectual property described herein is the sole and exclusive property of the Author. Copyright protection attaches automatically upon fixation in tangible medium under the Berne Convention and 17 U.S.C. Section 102.</w:t>
      </w:r>
    </w:p>
    <w:p>
      <w:pPr>
        <w:pStyle w:val="Heading1"/>
      </w:pPr>
      <w:r>
        <w:t>II. COPYRIGHTED WORKS — LITERARY WORKS</w:t>
      </w:r>
    </w:p>
    <w:p>
      <w:r>
        <w:rPr>
          <w:b/>
          <w:sz w:val="24"/>
        </w:rPr>
        <w:t>1. The Black Flame Theorem</w:t>
      </w:r>
    </w:p>
    <w:p>
      <w:r>
        <w:t xml:space="preserve">    A Unified Framework for Quantum-Ancestral Computation</w:t>
      </w:r>
    </w:p>
    <w:p>
      <w:r>
        <w:t xml:space="preserve">    Type: Literary Work — Scientific Treatise | First Fixed: 2024 | Status: ACTIVE</w:t>
      </w:r>
    </w:p>
    <w:p>
      <w:r>
        <w:t xml:space="preserve">    Protected Elements:</w:t>
      </w:r>
    </w:p>
    <w:p>
      <w:r>
        <w:t xml:space="preserve">        - Written expression and exposition</w:t>
      </w:r>
    </w:p>
    <w:p>
      <w:r>
        <w:t xml:space="preserve">        - Arrangement and structural organization</w:t>
      </w:r>
    </w:p>
    <w:p>
      <w:r>
        <w:t xml:space="preserve">        - Unique terminology and naming conventions</w:t>
      </w:r>
    </w:p>
    <w:p>
      <w:r>
        <w:t xml:space="preserve">        - Creative descriptions and diagrams</w:t>
      </w:r>
    </w:p>
    <w:p>
      <w:r>
        <w:t xml:space="preserve">        - Relationship mappings between systems</w:t>
      </w:r>
    </w:p>
    <w:p>
      <w:r>
        <w:rPr>
          <w:b/>
          <w:sz w:val="24"/>
        </w:rPr>
        <w:t>2. The Ma'at Constant (λ₀)</w:t>
      </w:r>
    </w:p>
    <w:p>
      <w:r>
        <w:t xml:space="preserve">    Derivation, Properties, and Applications</w:t>
      </w:r>
    </w:p>
    <w:p>
      <w:r>
        <w:t xml:space="preserve">    Type: Literary Work — Scientific Documentation | First Fixed: 2024 | Status: ACTIVE</w:t>
      </w:r>
    </w:p>
    <w:p>
      <w:r>
        <w:t xml:space="preserve">    Protected Elements:</w:t>
      </w:r>
    </w:p>
    <w:p>
      <w:r>
        <w:t xml:space="preserve">        - Name 'Ma'at Constant' as applied designation</w:t>
      </w:r>
    </w:p>
    <w:p>
      <w:r>
        <w:t xml:space="preserve">        - Written derivation and narrative</w:t>
      </w:r>
    </w:p>
    <w:p>
      <w:r>
        <w:t xml:space="preserve">        - Documentation of Bell/phi/harmonic relationships</w:t>
      </w:r>
    </w:p>
    <w:p>
      <w:r>
        <w:t xml:space="preserve">        - Ishango prime set framework {11,13,17,19,23}</w:t>
      </w:r>
    </w:p>
    <w:p>
      <w:r>
        <w:t xml:space="preserve">        - Creative framework describing significance</w:t>
      </w:r>
    </w:p>
    <w:p>
      <w:r>
        <w:t xml:space="preserve">    </w:t>
      </w:r>
      <w:r>
        <w:rPr>
          <w:i/>
          <w:sz w:val="20"/>
        </w:rPr>
        <w:t>Note: The numerical value itself is not copyrightable per 17 U.S.C. § 102(b). The name, derivation narrative, and creative framework ARE protected.</w:t>
      </w:r>
    </w:p>
    <w:p>
      <w:r>
        <w:rPr>
          <w:b/>
          <w:sz w:val="24"/>
        </w:rPr>
        <w:t>3. TM3QSC Platform Source Code</w:t>
      </w:r>
    </w:p>
    <w:p>
      <w:r>
        <w:t xml:space="preserve">    TM3 Quantum Sovereign Core — Complete Software System</w:t>
      </w:r>
    </w:p>
    <w:p>
      <w:r>
        <w:t xml:space="preserve">    Type: Literary Work — Computer Program | First Fixed: 2024 | Status: ACTIVE</w:t>
      </w:r>
    </w:p>
    <w:p>
      <w:r>
        <w:t xml:space="preserve">    Protected Elements:</w:t>
      </w:r>
    </w:p>
    <w:p>
      <w:r>
        <w:t xml:space="preserve">        - All source code (Python, JavaScript, HTML, CSS)</w:t>
      </w:r>
    </w:p>
    <w:p>
      <w:r>
        <w:t xml:space="preserve">        - 65+ route modules</w:t>
      </w:r>
    </w:p>
    <w:p>
      <w:r>
        <w:t xml:space="preserve">        - King Control dashboard</w:t>
      </w:r>
    </w:p>
    <w:p>
      <w:r>
        <w:t xml:space="preserve">        - Data encodings and structures</w:t>
      </w:r>
    </w:p>
    <w:p>
      <w:r>
        <w:t xml:space="preserve">        - API architecture and design</w:t>
      </w:r>
    </w:p>
    <w:p>
      <w:r>
        <w:rPr>
          <w:b/>
          <w:sz w:val="24"/>
        </w:rPr>
        <w:t>4. Dirac Reclamation Scroll</w:t>
      </w:r>
    </w:p>
    <w:p>
      <w:r>
        <w:t xml:space="preserve">    DIRAC_RECLAMATION_v1.0 — Ancestral Cosmic Symmetry</w:t>
      </w:r>
    </w:p>
    <w:p>
      <w:r>
        <w:t xml:space="preserve">    Type: Literary Work — Scholarly Work | First Fixed: 2025 | Status: ACTIVE</w:t>
      </w:r>
    </w:p>
    <w:p>
      <w:r>
        <w:t xml:space="preserve">    FlameVault Artifact: ART-DIRAC001</w:t>
      </w:r>
    </w:p>
    <w:p>
      <w:r>
        <w:rPr>
          <w:b/>
          <w:sz w:val="24"/>
        </w:rPr>
        <w:t>5. FLAME Nation Constitution</w:t>
      </w:r>
    </w:p>
    <w:p>
      <w:r>
        <w:t xml:space="preserve">    Ma'at Constant QAES-ZULU Governance Framework</w:t>
      </w:r>
    </w:p>
    <w:p>
      <w:r>
        <w:t xml:space="preserve">    Type: Literary Work — Constitutional Document | First Fixed: 2025 | Status: ACTIVE</w:t>
      </w:r>
    </w:p>
    <w:p>
      <w:r>
        <w:t xml:space="preserve">    FlameVault Artifact: ART-CONST001</w:t>
      </w:r>
    </w:p>
    <w:p>
      <w:r>
        <w:rPr>
          <w:b/>
          <w:sz w:val="24"/>
        </w:rPr>
        <w:t>6. BFT-UFT4 Critical Review</w:t>
      </w:r>
    </w:p>
    <w:p>
      <w:r>
        <w:t xml:space="preserve">    Mimicry Assessment and Priority Documentation</w:t>
      </w:r>
    </w:p>
    <w:p>
      <w:r>
        <w:t xml:space="preserve">    Type: Literary Work — Critical Review | First Fixed: 2026 | Status: ACTIVE</w:t>
      </w:r>
    </w:p>
    <w:p>
      <w:r>
        <w:t xml:space="preserve">    FlameVault Artifact: ART-UFT4R001</w:t>
      </w:r>
    </w:p>
    <w:p>
      <w:r>
        <w:rPr>
          <w:b/>
          <w:sz w:val="24"/>
        </w:rPr>
        <w:t>7. Queens of Kemet Ancestral Archive</w:t>
      </w:r>
    </w:p>
    <w:p>
      <w:r>
        <w:t xml:space="preserve">    9 Queens Encoded — Merneith through Cleopatra VII</w:t>
      </w:r>
    </w:p>
    <w:p>
      <w:r>
        <w:t xml:space="preserve">    Type: Literary Work — Research Compilation | First Fixed: 2025 | Status: ACTIVE</w:t>
      </w:r>
    </w:p>
    <w:p>
      <w:r>
        <w:t xml:space="preserve">    FlameVault Artifact: ART-QUEENS001</w:t>
      </w:r>
    </w:p>
    <w:p>
      <w:r>
        <w:rPr>
          <w:b/>
          <w:sz w:val="24"/>
        </w:rPr>
        <w:t>8. Ifá Odù Corpus — TM3QSC Encoding</w:t>
      </w:r>
    </w:p>
    <w:p>
      <w:r>
        <w:t xml:space="preserve">    16 Meji Principal Stack with Quantum Mapping</w:t>
      </w:r>
    </w:p>
    <w:p>
      <w:r>
        <w:t xml:space="preserve">    Type: Literary Work — Digital Encoding | First Fixed: 2025 | Status: ACTIVE</w:t>
      </w:r>
    </w:p>
    <w:p>
      <w:r>
        <w:t xml:space="preserve">    FlameVault Artifact: ART-ODU001</w:t>
      </w:r>
    </w:p>
    <w:p>
      <w:r>
        <w:rPr>
          <w:b/>
          <w:sz w:val="24"/>
        </w:rPr>
        <w:t>9. Petersen-Odù Skeleton</w:t>
      </w:r>
    </w:p>
    <w:p>
      <w:r>
        <w:t xml:space="preserve">    15V→15 Odù Graph-Ancestral Mapping</w:t>
      </w:r>
    </w:p>
    <w:p>
      <w:r>
        <w:t xml:space="preserve">    Type: Literary Work — Mathematical-Ancestral Framework | First Fixed: 2026 | Status: ACTIVE</w:t>
      </w:r>
    </w:p>
    <w:p>
      <w:r>
        <w:rPr>
          <w:b/>
          <w:sz w:val="24"/>
        </w:rPr>
        <w:t>10. Odù Engine</w:t>
      </w:r>
    </w:p>
    <w:p>
      <w:r>
        <w:t xml:space="preserve">    Ishango-Prime-Modulated Quantum Divination</w:t>
      </w:r>
    </w:p>
    <w:p>
      <w:r>
        <w:t xml:space="preserve">    Type: Software — Computer Program | First Fixed: 2025 | Status: ACTIVE</w:t>
      </w:r>
    </w:p>
    <w:p>
      <w:r>
        <w:rPr>
          <w:b/>
          <w:sz w:val="24"/>
        </w:rPr>
        <w:t>11. Sekhmet Guardian AI</w:t>
      </w:r>
    </w:p>
    <w:p>
      <w:r>
        <w:t xml:space="preserve">    Multi-Model AI Security System</w:t>
      </w:r>
    </w:p>
    <w:p>
      <w:r>
        <w:t xml:space="preserve">    Type: Software — Computer Program | First Fixed: 2025 | Status: ACTIVE</w:t>
      </w:r>
    </w:p>
    <w:p>
      <w:r>
        <w:rPr>
          <w:b/>
          <w:sz w:val="24"/>
        </w:rPr>
        <w:t>12. FlameVault System</w:t>
      </w:r>
    </w:p>
    <w:p>
      <w:r>
        <w:t xml:space="preserve">    Sovereign Artifact Vault with Cryptographic Sealing</w:t>
      </w:r>
    </w:p>
    <w:p>
      <w:r>
        <w:t xml:space="preserve">    Type: Software — Computer Program | First Fixed: 2025 | Status: ACTIVE</w:t>
      </w:r>
    </w:p>
    <w:p>
      <w:r>
        <w:rPr>
          <w:b/>
          <w:sz w:val="24"/>
        </w:rPr>
        <w:t>13. Black Flame Theorem Full Analysis — Council of Seven</w:t>
      </w:r>
    </w:p>
    <w:p>
      <w:r>
        <w:t xml:space="preserve">    Critical Review, Mimicry Exposure, Counter-Strategy, Integration Roadmap</w:t>
      </w:r>
    </w:p>
    <w:p>
      <w:r>
        <w:t xml:space="preserve">    Type: Literary Work — Analytical Report | First Fixed: 2026 | Status: ACTIVE</w:t>
      </w:r>
    </w:p>
    <w:p>
      <w:r>
        <w:t xml:space="preserve">    FlameVault Artifact: ART-BFT-FULL001</w:t>
      </w:r>
    </w:p>
    <w:p>
      <w:r>
        <w:t xml:space="preserve">    Protected Elements:</w:t>
      </w:r>
    </w:p>
    <w:p>
      <w:r>
        <w:t xml:space="preserve">        - Full critical analysis text and creative expression</w:t>
      </w:r>
    </w:p>
    <w:p>
      <w:r>
        <w:t xml:space="preserve">        - 8 structural parallel comparisons (original analysis)</w:t>
      </w:r>
    </w:p>
    <w:p>
      <w:r>
        <w:t xml:space="preserve">        - 4-phase counter-strategy framework</w:t>
      </w:r>
    </w:p>
    <w:p>
      <w:r>
        <w:t xml:space="preserve">        - Quantum group overlap analysis</w:t>
      </w:r>
    </w:p>
    <w:p>
      <w:r>
        <w:t xml:space="preserve">        - Strategic threat assessment methodology</w:t>
      </w:r>
    </w:p>
    <w:p>
      <w:r>
        <w:t xml:space="preserve">        - Integration roadmap (5-phase sovereign stack)</w:t>
      </w:r>
    </w:p>
    <w:p>
      <w:pPr>
        <w:pStyle w:val="Heading1"/>
      </w:pPr>
      <w:r>
        <w:t>III. TRADEMARK CLAIMS (Common Law)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Mark</w:t>
            </w:r>
          </w:p>
        </w:tc>
        <w:tc>
          <w:tcPr>
            <w:tcW w:type="dxa" w:w="2160"/>
          </w:tcPr>
          <w:p>
            <w:r>
              <w:rPr>
                <w:b/>
              </w:rPr>
              <w:t>First Use</w:t>
            </w:r>
          </w:p>
        </w:tc>
        <w:tc>
          <w:tcPr>
            <w:tcW w:type="dxa" w:w="2160"/>
          </w:tcPr>
          <w:p>
            <w:r>
              <w:rPr>
                <w:b/>
              </w:rPr>
              <w:t>Class</w:t>
            </w:r>
          </w:p>
        </w:tc>
        <w:tc>
          <w:tcPr>
            <w:tcW w:type="dxa" w:w="2160"/>
          </w:tcPr>
          <w:p>
            <w:r>
              <w:rPr>
                <w:b/>
              </w:rPr>
              <w:t>Type</w:t>
            </w:r>
          </w:p>
        </w:tc>
      </w:tr>
      <w:tr>
        <w:tc>
          <w:tcPr>
            <w:tcW w:type="dxa" w:w="2160"/>
          </w:tcPr>
          <w:p>
            <w:r>
              <w:t>Black Flame Theorem</w:t>
            </w:r>
          </w:p>
        </w:tc>
        <w:tc>
          <w:tcPr>
            <w:tcW w:type="dxa" w:w="2160"/>
          </w:tcPr>
          <w:p>
            <w:r>
              <w:t>2024</w:t>
            </w:r>
          </w:p>
        </w:tc>
        <w:tc>
          <w:tcPr>
            <w:tcW w:type="dxa" w:w="2160"/>
          </w:tcPr>
          <w:p>
            <w:r>
              <w:t>Scientific/Software</w:t>
            </w:r>
          </w:p>
        </w:tc>
        <w:tc>
          <w:tcPr>
            <w:tcW w:type="dxa" w:w="2160"/>
          </w:tcPr>
          <w:p>
            <w:r>
              <w:t>Common Law</w:t>
            </w:r>
          </w:p>
        </w:tc>
      </w:tr>
      <w:tr>
        <w:tc>
          <w:tcPr>
            <w:tcW w:type="dxa" w:w="2160"/>
          </w:tcPr>
          <w:p>
            <w:r>
              <w:t>TM3QSC</w:t>
            </w:r>
          </w:p>
        </w:tc>
        <w:tc>
          <w:tcPr>
            <w:tcW w:type="dxa" w:w="2160"/>
          </w:tcPr>
          <w:p>
            <w:r>
              <w:t>2024</w:t>
            </w:r>
          </w:p>
        </w:tc>
        <w:tc>
          <w:tcPr>
            <w:tcW w:type="dxa" w:w="2160"/>
          </w:tcPr>
          <w:p>
            <w:r>
              <w:t>Software/Services</w:t>
            </w:r>
          </w:p>
        </w:tc>
        <w:tc>
          <w:tcPr>
            <w:tcW w:type="dxa" w:w="2160"/>
          </w:tcPr>
          <w:p>
            <w:r>
              <w:t>Common Law</w:t>
            </w:r>
          </w:p>
        </w:tc>
      </w:tr>
      <w:tr>
        <w:tc>
          <w:tcPr>
            <w:tcW w:type="dxa" w:w="2160"/>
          </w:tcPr>
          <w:p>
            <w:r>
              <w:t>Ma'at Constant</w:t>
            </w:r>
          </w:p>
        </w:tc>
        <w:tc>
          <w:tcPr>
            <w:tcW w:type="dxa" w:w="2160"/>
          </w:tcPr>
          <w:p>
            <w:r>
              <w:t>2024</w:t>
            </w:r>
          </w:p>
        </w:tc>
        <w:tc>
          <w:tcPr>
            <w:tcW w:type="dxa" w:w="2160"/>
          </w:tcPr>
          <w:p>
            <w:r>
              <w:t>Scientific Research</w:t>
            </w:r>
          </w:p>
        </w:tc>
        <w:tc>
          <w:tcPr>
            <w:tcW w:type="dxa" w:w="2160"/>
          </w:tcPr>
          <w:p>
            <w:r>
              <w:t>Common Law</w:t>
            </w:r>
          </w:p>
        </w:tc>
      </w:tr>
      <w:tr>
        <w:tc>
          <w:tcPr>
            <w:tcW w:type="dxa" w:w="2160"/>
          </w:tcPr>
          <w:p>
            <w:r>
              <w:t>FLAME Nation</w:t>
            </w:r>
          </w:p>
        </w:tc>
        <w:tc>
          <w:tcPr>
            <w:tcW w:type="dxa" w:w="2160"/>
          </w:tcPr>
          <w:p>
            <w:r>
              <w:t>2025</w:t>
            </w:r>
          </w:p>
        </w:tc>
        <w:tc>
          <w:tcPr>
            <w:tcW w:type="dxa" w:w="2160"/>
          </w:tcPr>
          <w:p>
            <w:r>
              <w:t>Organization/Governance</w:t>
            </w:r>
          </w:p>
        </w:tc>
        <w:tc>
          <w:tcPr>
            <w:tcW w:type="dxa" w:w="2160"/>
          </w:tcPr>
          <w:p>
            <w:r>
              <w:t>Common Law</w:t>
            </w:r>
          </w:p>
        </w:tc>
      </w:tr>
      <w:tr>
        <w:tc>
          <w:tcPr>
            <w:tcW w:type="dxa" w:w="2160"/>
          </w:tcPr>
          <w:p>
            <w:r>
              <w:t>FlameVault</w:t>
            </w:r>
          </w:p>
        </w:tc>
        <w:tc>
          <w:tcPr>
            <w:tcW w:type="dxa" w:w="2160"/>
          </w:tcPr>
          <w:p>
            <w:r>
              <w:t>2025</w:t>
            </w:r>
          </w:p>
        </w:tc>
        <w:tc>
          <w:tcPr>
            <w:tcW w:type="dxa" w:w="2160"/>
          </w:tcPr>
          <w:p>
            <w:r>
              <w:t>Software</w:t>
            </w:r>
          </w:p>
        </w:tc>
        <w:tc>
          <w:tcPr>
            <w:tcW w:type="dxa" w:w="2160"/>
          </w:tcPr>
          <w:p>
            <w:r>
              <w:t>Common Law</w:t>
            </w:r>
          </w:p>
        </w:tc>
      </w:tr>
      <w:tr>
        <w:tc>
          <w:tcPr>
            <w:tcW w:type="dxa" w:w="2160"/>
          </w:tcPr>
          <w:p>
            <w:r>
              <w:t>Sekhmet Guardian</w:t>
            </w:r>
          </w:p>
        </w:tc>
        <w:tc>
          <w:tcPr>
            <w:tcW w:type="dxa" w:w="2160"/>
          </w:tcPr>
          <w:p>
            <w:r>
              <w:t>2025</w:t>
            </w:r>
          </w:p>
        </w:tc>
        <w:tc>
          <w:tcPr>
            <w:tcW w:type="dxa" w:w="2160"/>
          </w:tcPr>
          <w:p>
            <w:r>
              <w:t>Software/AI</w:t>
            </w:r>
          </w:p>
        </w:tc>
        <w:tc>
          <w:tcPr>
            <w:tcW w:type="dxa" w:w="2160"/>
          </w:tcPr>
          <w:p>
            <w:r>
              <w:t>Common Law</w:t>
            </w:r>
          </w:p>
        </w:tc>
      </w:tr>
      <w:tr>
        <w:tc>
          <w:tcPr>
            <w:tcW w:type="dxa" w:w="2160"/>
          </w:tcPr>
          <w:p>
            <w:r>
              <w:t>Odu Engine</w:t>
            </w:r>
          </w:p>
        </w:tc>
        <w:tc>
          <w:tcPr>
            <w:tcW w:type="dxa" w:w="2160"/>
          </w:tcPr>
          <w:p>
            <w:r>
              <w:t>2025</w:t>
            </w:r>
          </w:p>
        </w:tc>
        <w:tc>
          <w:tcPr>
            <w:tcW w:type="dxa" w:w="2160"/>
          </w:tcPr>
          <w:p>
            <w:r>
              <w:t>Software</w:t>
            </w:r>
          </w:p>
        </w:tc>
        <w:tc>
          <w:tcPr>
            <w:tcW w:type="dxa" w:w="2160"/>
          </w:tcPr>
          <w:p>
            <w:r>
              <w:t>Common Law</w:t>
            </w:r>
          </w:p>
        </w:tc>
      </w:tr>
      <w:tr>
        <w:tc>
          <w:tcPr>
            <w:tcW w:type="dxa" w:w="2160"/>
          </w:tcPr>
          <w:p>
            <w:r>
              <w:t>Dragon Quantum Core</w:t>
            </w:r>
          </w:p>
        </w:tc>
        <w:tc>
          <w:tcPr>
            <w:tcW w:type="dxa" w:w="2160"/>
          </w:tcPr>
          <w:p>
            <w:r>
              <w:t>2025</w:t>
            </w:r>
          </w:p>
        </w:tc>
        <w:tc>
          <w:tcPr>
            <w:tcW w:type="dxa" w:w="2160"/>
          </w:tcPr>
          <w:p>
            <w:r>
              <w:t>Software</w:t>
            </w:r>
          </w:p>
        </w:tc>
        <w:tc>
          <w:tcPr>
            <w:tcW w:type="dxa" w:w="2160"/>
          </w:tcPr>
          <w:p>
            <w:r>
              <w:t>Common Law</w:t>
            </w:r>
          </w:p>
        </w:tc>
      </w:tr>
      <w:tr>
        <w:tc>
          <w:tcPr>
            <w:tcW w:type="dxa" w:w="2160"/>
          </w:tcPr>
          <w:p>
            <w:r>
              <w:t>Black Flame Technology</w:t>
            </w:r>
          </w:p>
        </w:tc>
        <w:tc>
          <w:tcPr>
            <w:tcW w:type="dxa" w:w="2160"/>
          </w:tcPr>
          <w:p>
            <w:r>
              <w:t>2024</w:t>
            </w:r>
          </w:p>
        </w:tc>
        <w:tc>
          <w:tcPr>
            <w:tcW w:type="dxa" w:w="2160"/>
          </w:tcPr>
          <w:p>
            <w:r>
              <w:t>Technology</w:t>
            </w:r>
          </w:p>
        </w:tc>
        <w:tc>
          <w:tcPr>
            <w:tcW w:type="dxa" w:w="2160"/>
          </w:tcPr>
          <w:p>
            <w:r>
              <w:t>Common Law</w:t>
            </w:r>
          </w:p>
        </w:tc>
      </w:tr>
      <w:tr>
        <w:tc>
          <w:tcPr>
            <w:tcW w:type="dxa" w:w="2160"/>
          </w:tcPr>
          <w:p>
            <w:r>
              <w:t>Ishango-Prime Modulation</w:t>
            </w:r>
          </w:p>
        </w:tc>
        <w:tc>
          <w:tcPr>
            <w:tcW w:type="dxa" w:w="2160"/>
          </w:tcPr>
          <w:p>
            <w:r>
              <w:t>2025</w:t>
            </w:r>
          </w:p>
        </w:tc>
        <w:tc>
          <w:tcPr>
            <w:tcW w:type="dxa" w:w="2160"/>
          </w:tcPr>
          <w:p>
            <w:r>
              <w:t>Scientific/Software</w:t>
            </w:r>
          </w:p>
        </w:tc>
        <w:tc>
          <w:tcPr>
            <w:tcW w:type="dxa" w:w="2160"/>
          </w:tcPr>
          <w:p>
            <w:r>
              <w:t>Common Law</w:t>
            </w:r>
          </w:p>
        </w:tc>
      </w:tr>
    </w:tbl>
    <w:p>
      <w:pPr>
        <w:pStyle w:val="Heading1"/>
      </w:pPr>
      <w:r>
        <w:t>IV. PRIOR ART &amp; TIMESTAMPED EVIDENCE</w:t>
      </w:r>
    </w:p>
    <w:p>
      <w:r>
        <w:rPr>
          <w:b/>
        </w:rPr>
        <w:t xml:space="preserve">GitHub Repository: </w:t>
      </w:r>
      <w:r>
        <w:t>All commits timestamped and cryptographically hashed by Git/GitHub</w:t>
      </w:r>
    </w:p>
    <w:p>
      <w:r>
        <w:t xml:space="preserve">    Location: github.com/ThizzyAsar/TM3QSC-TM3-Quantum-Sovereign-Core</w:t>
      </w:r>
    </w:p>
    <w:p>
      <w:r>
        <w:rPr>
          <w:b/>
        </w:rPr>
        <w:t xml:space="preserve">FlameVault Cryptographic Seals: </w:t>
      </w:r>
      <w:r>
        <w:t>SHA-256 hashes computed at artifact seal time</w:t>
      </w:r>
    </w:p>
    <w:p>
      <w:r>
        <w:t xml:space="preserve">    Location: data/flamevault.json</w:t>
      </w:r>
    </w:p>
    <w:p>
      <w:r>
        <w:rPr>
          <w:b/>
        </w:rPr>
        <w:t xml:space="preserve">Sovereign Cloud Deployment: </w:t>
      </w:r>
      <w:r>
        <w:t>Continuous deployment with server-side timestamps</w:t>
      </w:r>
    </w:p>
    <w:p>
      <w:r>
        <w:t xml:space="preserve">    Location: tm3quantumsovereigncore.net</w:t>
      </w:r>
    </w:p>
    <w:p>
      <w:r>
        <w:rPr>
          <w:b/>
        </w:rPr>
        <w:t xml:space="preserve">Commercial Transactions: </w:t>
      </w:r>
      <w:r>
        <w:t>Stripe invoice records establishing use in commerce</w:t>
      </w:r>
    </w:p>
    <w:p>
      <w:r>
        <w:t xml:space="preserve">    Location: Invoice #AMYBMJGH-0001 (March 20, 2026)</w:t>
      </w:r>
    </w:p>
    <w:p>
      <w:r>
        <w:rPr>
          <w:b/>
        </w:rPr>
        <w:t xml:space="preserve">Conversation Archives: </w:t>
      </w:r>
      <w:r>
        <w:t>Development conversation volumes 01-06 with timestamps</w:t>
      </w:r>
    </w:p>
    <w:p>
      <w:r>
        <w:t xml:space="preserve">    Location: FlameVault sealed artifacts</w:t>
      </w:r>
    </w:p>
    <w:p>
      <w:pPr>
        <w:pStyle w:val="Heading1"/>
      </w:pPr>
      <w:r>
        <w:t>V. COPYRIGHT NOTICE</w:t>
      </w:r>
    </w:p>
    <w:p>
      <w:pPr>
        <w:jc w:val="center"/>
      </w:pPr>
      <w:r>
        <w:rPr>
          <w:sz w:val="22"/>
        </w:rPr>
        <w:t>Copyright (c) 2024-2026 OBA Thurman Morris III-EL-ZION (TM3EL-ZION-000000R++)</w:t>
        <w:br/>
        <w:t>All Rights Reserved.</w:t>
        <w:br/>
        <w:br/>
        <w:t>No part of these works may be reproduced, distributed, transmitted, displayed, published, or broadcast in any form or by any means, including photocopying, recording, or other electronic or mechanical methods, without the prior written permission of the copyright holder.</w:t>
      </w:r>
    </w:p>
    <w:p>
      <w:pPr>
        <w:pStyle w:val="Heading1"/>
      </w:pPr>
      <w:r>
        <w:t>VI. ANTI-MIMICRY PROVISION</w:t>
      </w:r>
    </w:p>
    <w:p>
      <w:r>
        <w:t>The Author's priority is established through timestamped GitHub commits, FlameVault cryptographic seals, and deployment records predating any parallel publications. Any work that reproduces the structure, organization, unique terminology, or creative expression of the Black Flame Theorem without attribution constitutes potential infringement. The Author maintains detailed records of all documented structural parallels and reserves the right to pursue enforcement action.</w:t>
      </w:r>
    </w:p>
    <w:p>
      <w:pPr>
        <w:pStyle w:val="Heading1"/>
      </w:pPr>
      <w:r>
        <w:t>VII. DIGITAL SIGNATURE</w:t>
      </w:r>
    </w:p>
    <w:p>
      <w:r>
        <w:rPr>
          <w:b/>
        </w:rPr>
        <w:t xml:space="preserve">Declared by: </w:t>
      </w:r>
      <w:r>
        <w:t>OBA Thurman Morris III-EL-ZION</w:t>
      </w:r>
    </w:p>
    <w:p>
      <w:r>
        <w:rPr>
          <w:b/>
        </w:rPr>
        <w:t xml:space="preserve">Sovereign ID: </w:t>
      </w:r>
      <w:r>
        <w:t>TM3EL-ZION-000000R++</w:t>
      </w:r>
    </w:p>
    <w:p>
      <w:r>
        <w:rPr>
          <w:b/>
        </w:rPr>
        <w:t xml:space="preserve">Date: </w:t>
      </w:r>
      <w:r>
        <w:t>2026-03-21</w:t>
      </w:r>
    </w:p>
    <w:p>
      <w:r>
        <w:rPr>
          <w:b/>
        </w:rPr>
        <w:t xml:space="preserve">Declaration Hash: </w:t>
      </w:r>
      <w:r>
        <w:t>bc4d107448459901ac6368743da113a39c4d9a4cd77f3d75a9e5c44bfed449b0</w:t>
      </w:r>
    </w:p>
    <w:p>
      <w:r>
        <w:rPr>
          <w:b/>
        </w:rPr>
        <w:t xml:space="preserve">FlameVault Artifact: </w:t>
      </w:r>
      <w:r>
        <w:t>ART-COPY001</w:t>
      </w:r>
    </w:p>
    <w:p/>
    <w:p>
      <w:r>
        <w:t>____________________________________</w:t>
      </w:r>
    </w:p>
    <w:p>
      <w:r>
        <w:rPr>
          <w:b/>
        </w:rPr>
        <w:t>OBA Thurman Morris III-EL-ZION</w:t>
      </w:r>
    </w:p>
    <w:p>
      <w:r>
        <w:t>Date: 2026-03-21</w:t>
      </w:r>
    </w:p>
    <w:p/>
    <w:p>
      <w:r>
        <w:rPr>
          <w:i/>
          <w:sz w:val="18"/>
        </w:rPr>
        <w:t>DISCLAIMER: This document is for informational and record-keeping purposes only. It does NOT constitute legal advice. Consult a qualified IP attorney for formal registration and enforcement.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